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deuteronomy-26"/>
    <w:p>
      <w:pPr>
        <w:pStyle w:val="Heading1"/>
      </w:pPr>
      <w:r>
        <w:t xml:space="preserve">Homiletics Analysis: Deuteronomy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26 brings the legal corpus of Deuteronomy (chapters 12–26) to its formal close with two liturgical ceremonies: the presentation of firstfruits (vv. 1–11) and the declaration accompanying the third-year tithe (vv. 12–15), followed by a mutual covenant declaration between the LORD and Israel (vv. 16–19). The firstfruits ceremony is remarkable for what it requires alongside the gift: a verbal confession of redemptive history. The worshiper does not merely bring produce; he recites the story of his father’s wandering, Egypt’s oppression, the LORD’s intervention, and the gift of the land. The tithe declaration (vv. 12–15) is a formal oath of compliance and a petition for continued blessing, structured around the worshiper’s claim to have obeyed fully — giving to the Levite, the stranger, the fatherless, and the widow. The closing covenant exchange (vv. 16–19) frames Israel’s obedience as the fitting response to a prior declaration: the LORD has declared Israel to be His treasured people; Israel declares the LORD to be their God. The entire chapter is structured around speech — what Israel says in the presence of God, not merely what Israel does.</w:t>
      </w:r>
    </w:p>
    <w:p>
      <w:pPr>
        <w:pStyle w:val="BodyText"/>
      </w:pPr>
      <w:r>
        <w:rPr>
          <w:b/>
          <w:bCs/>
        </w:rPr>
        <w:t xml:space="preserve">This Text — Intent</w:t>
      </w:r>
    </w:p>
    <w:p>
      <w:pPr>
        <w:pStyle w:val="BodyText"/>
      </w:pPr>
      <w:r>
        <w:t xml:space="preserve">God is seeking to form in Israel a people whose obedience is rooted in memory and identity rather than duty or obligation. The ceremonies require the worshiper to locate himself within the story of redemption —</w:t>
      </w:r>
      <w:r>
        <w:t xml:space="preserve"> </w:t>
      </w:r>
      <w:r>
        <w:t xml:space="preserve">“my father was a wandering Aramean”</w:t>
      </w:r>
      <w:r>
        <w:t xml:space="preserve"> </w:t>
      </w:r>
      <w:r>
        <w:t xml:space="preserve">— so that giving the firstfruits is not philanthropy or religious duty but an act of worshipful gratitude by someone who knows he is a recipient, not a self-made man. God’s intent is to prevent the land from becoming an idol and to prevent prosperity from producing amnesia. He is calling Israel to a worship posture in which every harvest is received as grace and every act of generosity is a confession of faith. The mutual covenant declaration at the close seals the chapter’s intent: Israel’s obedience and the LORD’s election belong together in a relationship of pledged, public, identity-shaping loyalty.</w:t>
      </w:r>
    </w:p>
    <w:p>
      <w:r>
        <w:pict>
          <v:rect style="width:0;height:1.5pt" o:hralign="center" o:hrstd="t" o:hr="t"/>
        </w:pict>
      </w:r>
    </w:p>
    <w:p>
      <w:pPr>
        <w:pStyle w:val="FirstParagraph"/>
      </w:pPr>
      <w:r>
        <w:rPr>
          <w:b/>
          <w:bCs/>
        </w:rPr>
        <w:t xml:space="preserve">Subject Sentence:</w:t>
      </w:r>
      <w:r>
        <w:t xml:space="preserve"> </w:t>
      </w:r>
      <w:r>
        <w:t xml:space="preserve">Covenant worship in the land roots obedience in remembered redemption and declared identity.</w:t>
      </w:r>
    </w:p>
    <w:p>
      <w:r>
        <w:pict>
          <v:rect style="width:0;height:1.5pt" o:hralign="center" o:hrstd="t" o:hr="t"/>
        </w:pict>
      </w:r>
    </w:p>
    <w:p>
      <w:pPr>
        <w:pStyle w:val="FirstParagraph"/>
      </w:pPr>
      <w:r>
        <w:rPr>
          <w:b/>
          <w:bCs/>
        </w:rPr>
        <w:t xml:space="preserve">Primary Claim:</w:t>
      </w:r>
      <w:r>
        <w:t xml:space="preserve"> </w:t>
      </w:r>
      <w:r>
        <w:t xml:space="preserve">God is calling His people to a worship that begins with remembering who they were before He acted — so that every act of giving becomes a confession of grace rather than an achievement of merit, and every declaration of loyalty is grounded in His prior claim on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Creedal Recitation (vv. 1–11) — Historical Summary or Living Confession?</w:t>
      </w:r>
    </w:p>
    <w:p>
      <w:pPr>
        <w:pStyle w:val="BodyText"/>
      </w:pPr>
      <w:r>
        <w:t xml:space="preserve">A significant question is whether the Aramean wanderer formula (v. 5) functions as historical recitation or as personal identification. Critical scholarship has frequently treated vv. 5–9 as a condensed historical credo that may have had independent liturgical existence prior to its Deuteronomic context (von Rad’s</w:t>
      </w:r>
      <w:r>
        <w:t xml:space="preserve"> </w:t>
      </w:r>
      <w:r>
        <w:t xml:space="preserve">“small historical credo”</w:t>
      </w:r>
      <w:r>
        <w:t xml:space="preserve"> </w:t>
      </w:r>
      <w:r>
        <w:t xml:space="preserve">thesis). On this reading, the worshiper is reciting community history but not necessarily claiming personal participation. The Reformed reading resists this bifurcation. The text uses first-person singular throughout —</w:t>
      </w:r>
      <w:r>
        <w:t xml:space="preserve"> </w:t>
      </w:r>
      <w:r>
        <w:t xml:space="preserve">“my father,”</w:t>
      </w:r>
      <w:r>
        <w:t xml:space="preserve"> </w:t>
      </w:r>
      <w:r>
        <w:t xml:space="preserve">“we cried out,”</w:t>
      </w:r>
      <w:r>
        <w:t xml:space="preserve"> </w:t>
      </w:r>
      <w:r>
        <w:t xml:space="preserve">“the LORD brought</w:t>
      </w:r>
      <w:r>
        <w:t xml:space="preserve"> </w:t>
      </w:r>
      <w:r>
        <w:rPr>
          <w:i/>
          <w:iCs/>
        </w:rPr>
        <w:t xml:space="preserve">us</w:t>
      </w:r>
      <w:r>
        <w:t xml:space="preserve"> </w:t>
      </w:r>
      <w:r>
        <w:t xml:space="preserve">out”</w:t>
      </w:r>
      <w:r>
        <w:t xml:space="preserve"> </w:t>
      </w:r>
      <w:r>
        <w:t xml:space="preserve">— and the Passover theology of Deuteronomy (cf. Deut. 6:20–25; 16:1–8) insists that each generation participates in the original redemption. The creedal recitation is not nostalgic — it is an act of self-location. The worshiper is identifying himself as the beneficiary of the very act of redemption he narrates. Von Rad’s credo hypothesis is worth acknowledging for surfacing the antiquity and liturgical form of vv. 5–9, but the reading that strips it of personal identification is to be</w:t>
      </w:r>
      <w:r>
        <w:t xml:space="preserve"> </w:t>
      </w:r>
      <w:r>
        <w:rPr>
          <w:b/>
          <w:bCs/>
        </w:rPr>
        <w:t xml:space="preserve">refuted</w:t>
      </w:r>
      <w:r>
        <w:t xml:space="preserve"> </w:t>
      </w:r>
      <w:r>
        <w:t xml:space="preserve">— the text will not support it.</w:t>
      </w:r>
    </w:p>
    <w:p>
      <w:pPr>
        <w:pStyle w:val="BodyText"/>
      </w:pPr>
      <w:r>
        <w:rPr>
          <w:b/>
          <w:bCs/>
        </w:rPr>
        <w:t xml:space="preserve">The Tithe Declaration (vv. 12–15) — Meritorious Claim or Covenantal Integrity?</w:t>
      </w:r>
    </w:p>
    <w:p>
      <w:pPr>
        <w:pStyle w:val="BodyText"/>
      </w:pPr>
      <w:r>
        <w:t xml:space="preserve">A Wesleyan or Roman Catholic reading might be tempted to read the tithe declaration’s self-attestation (</w:t>
      </w:r>
      <w:r>
        <w:t xml:space="preserve">“I have not transgressed Your commandments,”</w:t>
      </w:r>
      <w:r>
        <w:t xml:space="preserve"> </w:t>
      </w:r>
      <w:r>
        <w:t xml:space="preserve">v. 13) as establishing merit before God — a record of righteous behavior presented as the basis for requesting blessing. This reading must be</w:t>
      </w:r>
      <w:r>
        <w:t xml:space="preserve"> </w:t>
      </w:r>
      <w:r>
        <w:rPr>
          <w:b/>
          <w:bCs/>
        </w:rPr>
        <w:t xml:space="preserve">qualified</w:t>
      </w:r>
      <w:r>
        <w:t xml:space="preserve">. The declaration is covenantal integrity language, not meritorious accomplishment. The structure parallels a vassal reporting compliance to a sovereign, not a worker presenting an invoice. The petitions of vv. 15 (</w:t>
      </w:r>
      <w:r>
        <w:t xml:space="preserve">“Look down from your holy habitation, from heaven, and bless Your people Israel”</w:t>
      </w:r>
      <w:r>
        <w:t xml:space="preserve">) are grounded in the covenant relationship, not in the worshiper’s righteous record as such. The Reformed reading sees the declaration as an act of transparent accountability within covenant — the worshiper is saying,</w:t>
      </w:r>
      <w:r>
        <w:t xml:space="preserve"> </w:t>
      </w:r>
      <w:r>
        <w:t xml:space="preserve">“I have not withheld what belongs to You and to those You have named”</w:t>
      </w:r>
      <w:r>
        <w:t xml:space="preserve"> </w:t>
      </w:r>
      <w:r>
        <w:t xml:space="preserve">— which is properly understood as covenant faithfulness, not self-righteousness.</w:t>
      </w:r>
    </w:p>
    <w:p>
      <w:pPr>
        <w:pStyle w:val="BodyText"/>
      </w:pPr>
      <w:r>
        <w:rPr>
          <w:b/>
          <w:bCs/>
        </w:rPr>
        <w:t xml:space="preserve">The Covenant Exchange (vv. 16–19) — Conditional Relationship or Gracious Election Expressed in Obligation?</w:t>
      </w:r>
    </w:p>
    <w:p>
      <w:pPr>
        <w:pStyle w:val="BodyText"/>
      </w:pPr>
      <w:r>
        <w:t xml:space="preserve">Arminian and some Baptist readings of vv. 16–19 might frame the covenant exchange as fundamentally bilateral and conditional: Israel’s status as the LORD’s treasured people (</w:t>
      </w:r>
      <w:r>
        <w:rPr>
          <w:i/>
          <w:iCs/>
        </w:rPr>
        <w:t xml:space="preserve">segullah</w:t>
      </w:r>
      <w:r>
        <w:t xml:space="preserve">, v. 18) depends on Israel’s prior obedience. The Reformed reading</w:t>
      </w:r>
      <w:r>
        <w:t xml:space="preserve"> </w:t>
      </w:r>
      <w:r>
        <w:rPr>
          <w:b/>
          <w:bCs/>
        </w:rPr>
        <w:t xml:space="preserve">refutes</w:t>
      </w:r>
      <w:r>
        <w:t xml:space="preserve"> </w:t>
      </w:r>
      <w:r>
        <w:t xml:space="preserve">this framing and insists on the priority of divine declaration. The LORD has</w:t>
      </w:r>
      <w:r>
        <w:t xml:space="preserve"> </w:t>
      </w:r>
      <w:r>
        <w:t xml:space="preserve">“avouched”</w:t>
      </w:r>
      <w:r>
        <w:t xml:space="preserve"> </w:t>
      </w:r>
      <w:r>
        <w:t xml:space="preserve">(</w:t>
      </w:r>
      <w:r>
        <w:rPr>
          <w:i/>
          <w:iCs/>
        </w:rPr>
        <w:t xml:space="preserve">he’emir</w:t>
      </w:r>
      <w:r>
        <w:t xml:space="preserve">, v. 17, 18) — a causative declaration, a formal announcement — that Israel is His treasured possession. Israel’s reciprocal declaration follows from and responds to this prior divine claim. The structure is not</w:t>
      </w:r>
      <w:r>
        <w:t xml:space="preserve"> </w:t>
      </w:r>
      <w:r>
        <w:t xml:space="preserve">“obey and then I will treasure you”</w:t>
      </w:r>
      <w:r>
        <w:t xml:space="preserve"> </w:t>
      </w:r>
      <w:r>
        <w:t xml:space="preserve">but</w:t>
      </w:r>
      <w:r>
        <w:t xml:space="preserve"> </w:t>
      </w:r>
      <w:r>
        <w:t xml:space="preserve">“I have declared you to be Mine — now walk accordingly.”</w:t>
      </w:r>
      <w:r>
        <w:t xml:space="preserve"> </w:t>
      </w:r>
      <w:r>
        <w:t xml:space="preserve">This is consistent with Deuteronomy’s repeated grounding of covenant obligation in prior gracious election (cf. Deut. 7:6–9; 14:2). The conditional element is real (obedience is required; disobedience has consequences) but it is not the basis of the relationship — it is the fitting expression of a relationship already constituted by grace.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6:20–25</w:t>
      </w:r>
      <w:r>
        <w:t xml:space="preserve"> </w:t>
      </w:r>
      <w:r>
        <w:t xml:space="preserve">— The same pattern of historical recitation grounds covenant instruction; parents are to tell children</w:t>
      </w:r>
      <w:r>
        <w:t xml:space="preserve"> </w:t>
      </w:r>
      <w:r>
        <w:t xml:space="preserve">“we were slaves in Egypt, and the LORD brought us out”</w:t>
      </w:r>
      <w:r>
        <w:t xml:space="preserve"> </w:t>
      </w:r>
      <w:r>
        <w:t xml:space="preserve">— identity-forming memory as the engine of obedience, directly corroborating Deuteronomy 26’s method.</w:t>
      </w:r>
    </w:p>
    <w:p>
      <w:pPr>
        <w:numPr>
          <w:ilvl w:val="0"/>
          <w:numId w:val="1001"/>
        </w:numPr>
      </w:pPr>
      <w:r>
        <w:rPr>
          <w:b/>
          <w:bCs/>
        </w:rPr>
        <w:t xml:space="preserve">Exodus 19:5–6</w:t>
      </w:r>
      <w:r>
        <w:t xml:space="preserve"> </w:t>
      </w:r>
      <w:r>
        <w:t xml:space="preserve">— The</w:t>
      </w:r>
      <w:r>
        <w:t xml:space="preserve"> </w:t>
      </w:r>
      <w:r>
        <w:rPr>
          <w:i/>
          <w:iCs/>
        </w:rPr>
        <w:t xml:space="preserve">segullah</w:t>
      </w:r>
      <w:r>
        <w:t xml:space="preserve"> </w:t>
      </w:r>
      <w:r>
        <w:t xml:space="preserve">language (</w:t>
      </w:r>
      <w:r>
        <w:t xml:space="preserve">“treasured possession”</w:t>
      </w:r>
      <w:r>
        <w:t xml:space="preserve">) first appears here in its covenantal context — the LORD’s prior declaration of Israel’s status before the law is given, confirming that Deuteronomy 26’s covenant exchange is grounded in prior election, not earned identity.</w:t>
      </w:r>
    </w:p>
    <w:p>
      <w:pPr>
        <w:numPr>
          <w:ilvl w:val="0"/>
          <w:numId w:val="1001"/>
        </w:numPr>
      </w:pPr>
      <w:r>
        <w:rPr>
          <w:b/>
          <w:bCs/>
        </w:rPr>
        <w:t xml:space="preserve">Psalm 105:1–11, 42–45</w:t>
      </w:r>
      <w:r>
        <w:t xml:space="preserve"> </w:t>
      </w:r>
      <w:r>
        <w:t xml:space="preserve">— The canonical pattern of reciting redemptive history as worship confirms that the firstfruits ceremony’s verbal confession is not a Deuteronomic novelty but reflects a deep Israelite theology of worshipful memory — remembering in order to obey and bless.</w:t>
      </w:r>
    </w:p>
    <w:p>
      <w:pPr>
        <w:numPr>
          <w:ilvl w:val="0"/>
          <w:numId w:val="1001"/>
        </w:numPr>
      </w:pPr>
      <w:r>
        <w:rPr>
          <w:b/>
          <w:bCs/>
        </w:rPr>
        <w:t xml:space="preserve">Romans 11:16–18</w:t>
      </w:r>
      <w:r>
        <w:t xml:space="preserve"> </w:t>
      </w:r>
      <w:r>
        <w:t xml:space="preserve">— Paul’s firstfruits language extends the principle that the first portion consecrates the whole; the underlying logic of Deuteronomy 26 — that the first fruit brought to God acknowledges that all of it belongs to Him — is operative in Paul’s argument about Israel and the Gentiles.</w:t>
      </w:r>
    </w:p>
    <w:p>
      <w:pPr>
        <w:numPr>
          <w:ilvl w:val="0"/>
          <w:numId w:val="1001"/>
        </w:numPr>
      </w:pPr>
      <w:r>
        <w:rPr>
          <w:b/>
          <w:bCs/>
        </w:rPr>
        <w:t xml:space="preserve">2 Corinthians 8:1–9</w:t>
      </w:r>
      <w:r>
        <w:t xml:space="preserve"> </w:t>
      </w:r>
      <w:r>
        <w:t xml:space="preserve">— The Macedonians’ generosity is grounded explicitly in Christ’s prior impoverishment on their behalf; the New Testament fulfillment of Deuteronomy 26’s principle is that Christian giving is rooted in remembered redemption (grace received, grace extended), not religious duty or achievement.</w:t>
      </w:r>
    </w:p>
    <w:p>
      <w:r>
        <w:pict>
          <v:rect style="width:0;height:1.5pt" o:hralign="center" o:hrstd="t" o:hr="t"/>
        </w:pict>
      </w:r>
    </w:p>
    <w:p>
      <w:pPr>
        <w:pStyle w:val="FirstParagraph"/>
      </w:pPr>
      <w:r>
        <w:rPr>
          <w:b/>
          <w:bCs/>
        </w:rPr>
        <w:t xml:space="preserve">Aim:</w:t>
      </w:r>
      <w:r>
        <w:t xml:space="preserve"> </w:t>
      </w:r>
      <w:r>
        <w:t xml:space="preserve">To demonstrate that covenant worship in Deuteronomy 26 is structured to produce a worshiper who gives out of memory and identity — not duty — and to show how that structure remains the governing logic of Christian generosity and devotion.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Command to bring firstfruits of the land upon entering and settling in Canaan</w:t>
            </w:r>
          </w:p>
        </w:tc>
        <w:tc>
          <w:tcPr/>
          <w:p>
            <w:pPr>
              <w:pStyle w:val="Compact"/>
            </w:pPr>
            <w:r>
              <w:t xml:space="preserve">Future-oriented — the ceremony presupposes possession of the land; the land itself is what must be confessed as gift</w:t>
            </w:r>
          </w:p>
        </w:tc>
      </w:tr>
      <w:tr>
        <w:tc>
          <w:tcPr/>
          <w:p>
            <w:pPr>
              <w:pStyle w:val="Compact"/>
            </w:pPr>
            <w:r>
              <w:t xml:space="preserve">3</w:t>
            </w:r>
          </w:p>
        </w:tc>
        <w:tc>
          <w:tcPr/>
          <w:p>
            <w:pPr>
              <w:pStyle w:val="Compact"/>
            </w:pPr>
            <w:r>
              <w:t xml:space="preserve">Worshiper comes to the priest and declares,</w:t>
            </w:r>
            <w:r>
              <w:t xml:space="preserve"> </w:t>
            </w:r>
            <w:r>
              <w:t xml:space="preserve">“I declare today to the LORD your God that I have come into the land the LORD swore to our fathers to give us”</w:t>
            </w:r>
          </w:p>
        </w:tc>
        <w:tc>
          <w:tcPr/>
          <w:p>
            <w:pPr>
              <w:pStyle w:val="Compact"/>
            </w:pPr>
            <w:r>
              <w:t xml:space="preserve">The declaration precedes the offering; speech is the primary act</w:t>
            </w:r>
          </w:p>
        </w:tc>
      </w:tr>
      <w:tr>
        <w:tc>
          <w:tcPr/>
          <w:p>
            <w:pPr>
              <w:pStyle w:val="Compact"/>
            </w:pPr>
            <w:r>
              <w:t xml:space="preserve">4</w:t>
            </w:r>
          </w:p>
        </w:tc>
        <w:tc>
          <w:tcPr/>
          <w:p>
            <w:pPr>
              <w:pStyle w:val="Compact"/>
            </w:pPr>
            <w:r>
              <w:t xml:space="preserve">Priest receives the basket and sets it before the altar</w:t>
            </w:r>
          </w:p>
        </w:tc>
        <w:tc>
          <w:tcPr/>
          <w:p>
            <w:pPr>
              <w:pStyle w:val="Compact"/>
            </w:pPr>
            <w:r>
              <w:t xml:space="preserve">Brief liturgical note — the priest’s role is receptive, not central</w:t>
            </w:r>
          </w:p>
        </w:tc>
      </w:tr>
      <w:tr>
        <w:tc>
          <w:tcPr/>
          <w:p>
            <w:pPr>
              <w:pStyle w:val="Compact"/>
            </w:pPr>
            <w:r>
              <w:t xml:space="preserve">5–9</w:t>
            </w:r>
          </w:p>
        </w:tc>
        <w:tc>
          <w:tcPr/>
          <w:p>
            <w:pPr>
              <w:pStyle w:val="Compact"/>
            </w:pPr>
            <w:r>
              <w:t xml:space="preserve">The</w:t>
            </w:r>
            <w:r>
              <w:t xml:space="preserve"> </w:t>
            </w:r>
            <w:r>
              <w:t xml:space="preserve">“wandering Aramean”</w:t>
            </w:r>
            <w:r>
              <w:t xml:space="preserve"> </w:t>
            </w:r>
            <w:r>
              <w:t xml:space="preserve">creedal recitation: ancestor’s origins, Egyptian bondage, the cry, the LORD’s intervention, the exodus, the gift of the land</w:t>
            </w:r>
          </w:p>
        </w:tc>
        <w:tc>
          <w:tcPr/>
          <w:p>
            <w:pPr>
              <w:pStyle w:val="Compact"/>
            </w:pPr>
            <w:r>
              <w:t xml:space="preserve">The spine of the ceremony — redemptive history recited in first-person plural; the</w:t>
            </w:r>
            <w:r>
              <w:t xml:space="preserve"> </w:t>
            </w:r>
            <w:r>
              <w:t xml:space="preserve">“we”</w:t>
            </w:r>
            <w:r>
              <w:t xml:space="preserve"> </w:t>
            </w:r>
            <w:r>
              <w:t xml:space="preserve">of solidarity across generations</w:t>
            </w:r>
          </w:p>
        </w:tc>
      </w:tr>
      <w:tr>
        <w:tc>
          <w:tcPr/>
          <w:p>
            <w:pPr>
              <w:pStyle w:val="Compact"/>
            </w:pPr>
            <w:r>
              <w:t xml:space="preserve">10a</w:t>
            </w:r>
          </w:p>
        </w:tc>
        <w:tc>
          <w:tcPr/>
          <w:p>
            <w:pPr>
              <w:pStyle w:val="Compact"/>
            </w:pPr>
            <w:r>
              <w:t xml:space="preserve">“And now, behold, I have brought the first of the fruit of the ground, which you, O LORD, have given me”</w:t>
            </w:r>
          </w:p>
        </w:tc>
        <w:tc>
          <w:tcPr/>
          <w:p>
            <w:pPr>
              <w:pStyle w:val="Compact"/>
            </w:pPr>
            <w:r>
              <w:t xml:space="preserve">The offering is made</w:t>
            </w:r>
            <w:r>
              <w:t xml:space="preserve"> </w:t>
            </w:r>
            <w:r>
              <w:rPr>
                <w:i/>
                <w:iCs/>
              </w:rPr>
              <w:t xml:space="preserve">after</w:t>
            </w:r>
            <w:r>
              <w:t xml:space="preserve"> </w:t>
            </w:r>
            <w:r>
              <w:t xml:space="preserve">and</w:t>
            </w:r>
            <w:r>
              <w:t xml:space="preserve"> </w:t>
            </w:r>
            <w:r>
              <w:rPr>
                <w:i/>
                <w:iCs/>
              </w:rPr>
              <w:t xml:space="preserve">in light of</w:t>
            </w:r>
            <w:r>
              <w:t xml:space="preserve"> </w:t>
            </w:r>
            <w:r>
              <w:t xml:space="preserve">the recitation — the sequence is theologically mandatory</w:t>
            </w:r>
          </w:p>
        </w:tc>
      </w:tr>
      <w:tr>
        <w:tc>
          <w:tcPr/>
          <w:p>
            <w:pPr>
              <w:pStyle w:val="Compact"/>
            </w:pPr>
            <w:r>
              <w:t xml:space="preserve">10b–11</w:t>
            </w:r>
          </w:p>
        </w:tc>
        <w:tc>
          <w:tcPr/>
          <w:p>
            <w:pPr>
              <w:pStyle w:val="Compact"/>
            </w:pPr>
            <w:r>
              <w:t xml:space="preserve">Command to</w:t>
            </w:r>
            <w:r>
              <w:t xml:space="preserve"> </w:t>
            </w:r>
            <w:r>
              <w:t xml:space="preserve">“set it down before the LORD your God and worship”</w:t>
            </w:r>
            <w:r>
              <w:t xml:space="preserve"> </w:t>
            </w:r>
            <w:r>
              <w:t xml:space="preserve">and to rejoice with household, Levite, and sojourner in all the good God has given</w:t>
            </w:r>
          </w:p>
        </w:tc>
        <w:tc>
          <w:tcPr/>
          <w:p>
            <w:pPr>
              <w:pStyle w:val="Compact"/>
            </w:pPr>
            <w:r>
              <w:t xml:space="preserve">Worship includes the vulnerable — the Levite and sojourner share in the covenant joy</w:t>
            </w:r>
          </w:p>
        </w:tc>
      </w:tr>
      <w:tr>
        <w:tc>
          <w:tcPr/>
          <w:p>
            <w:pPr>
              <w:pStyle w:val="Compact"/>
            </w:pPr>
            <w:r>
              <w:t xml:space="preserve">12–13</w:t>
            </w:r>
          </w:p>
        </w:tc>
        <w:tc>
          <w:tcPr/>
          <w:p>
            <w:pPr>
              <w:pStyle w:val="Compact"/>
            </w:pPr>
            <w:r>
              <w:t xml:space="preserve">Command concerning the third-year tithe (the</w:t>
            </w:r>
            <w:r>
              <w:t xml:space="preserve"> </w:t>
            </w:r>
            <w:r>
              <w:t xml:space="preserve">“year of tithing”</w:t>
            </w:r>
            <w:r>
              <w:t xml:space="preserve">) — distribution to Levite, sojourner, fatherless, and widow; the formal declaration of compliance</w:t>
            </w:r>
          </w:p>
        </w:tc>
        <w:tc>
          <w:tcPr/>
          <w:p>
            <w:pPr>
              <w:pStyle w:val="Compact"/>
            </w:pPr>
            <w:r>
              <w:t xml:space="preserve">The declaration functions as a covenantal oath of integrity before God</w:t>
            </w:r>
          </w:p>
        </w:tc>
      </w:tr>
      <w:tr>
        <w:tc>
          <w:tcPr/>
          <w:p>
            <w:pPr>
              <w:pStyle w:val="Compact"/>
            </w:pPr>
            <w:r>
              <w:t xml:space="preserve">14</w:t>
            </w:r>
          </w:p>
        </w:tc>
        <w:tc>
          <w:tcPr/>
          <w:p>
            <w:pPr>
              <w:pStyle w:val="Compact"/>
            </w:pPr>
            <w:r>
              <w:t xml:space="preserve">Three negatives:</w:t>
            </w:r>
            <w:r>
              <w:t xml:space="preserve"> </w:t>
            </w:r>
            <w:r>
              <w:t xml:space="preserve">“I have not eaten of it in my mourning, or removed any of it while I was unclean, or offered any of it to the dead”</w:t>
            </w:r>
          </w:p>
        </w:tc>
        <w:tc>
          <w:tcPr/>
          <w:p>
            <w:pPr>
              <w:pStyle w:val="Compact"/>
            </w:pPr>
            <w:r>
              <w:t xml:space="preserve">Purity concerns — the tithe must not be contaminated by death-related impurity or pagan practice</w:t>
            </w:r>
          </w:p>
        </w:tc>
      </w:tr>
      <w:tr>
        <w:tc>
          <w:tcPr/>
          <w:p>
            <w:pPr>
              <w:pStyle w:val="Compact"/>
            </w:pPr>
            <w:r>
              <w:t xml:space="preserve">15</w:t>
            </w:r>
          </w:p>
        </w:tc>
        <w:tc>
          <w:tcPr/>
          <w:p>
            <w:pPr>
              <w:pStyle w:val="Compact"/>
            </w:pPr>
            <w:r>
              <w:t xml:space="preserve">Petition:</w:t>
            </w:r>
            <w:r>
              <w:t xml:space="preserve"> </w:t>
            </w:r>
            <w:r>
              <w:t xml:space="preserve">“Look down from your holy habitation, from heaven, and bless your people Israel and the ground that you have given us, as you swore to our fathers, a land flowing with milk and honey”</w:t>
            </w:r>
          </w:p>
        </w:tc>
        <w:tc>
          <w:tcPr/>
          <w:p>
            <w:pPr>
              <w:pStyle w:val="Compact"/>
            </w:pPr>
            <w:r>
              <w:t xml:space="preserve">The request for blessing is grounded in covenant loyalty, not merit;</w:t>
            </w:r>
            <w:r>
              <w:t xml:space="preserve"> </w:t>
            </w:r>
            <w:r>
              <w:t xml:space="preserve">“as you swore”</w:t>
            </w:r>
            <w:r>
              <w:t xml:space="preserve"> </w:t>
            </w:r>
            <w:r>
              <w:t xml:space="preserve">appeals to divine faithfulness</w:t>
            </w:r>
          </w:p>
        </w:tc>
      </w:tr>
      <w:tr>
        <w:tc>
          <w:tcPr/>
          <w:p>
            <w:pPr>
              <w:pStyle w:val="Compact"/>
            </w:pPr>
            <w:r>
              <w:t xml:space="preserve">16</w:t>
            </w:r>
          </w:p>
        </w:tc>
        <w:tc>
          <w:tcPr/>
          <w:p>
            <w:pPr>
              <w:pStyle w:val="Compact"/>
            </w:pPr>
            <w:r>
              <w:t xml:space="preserve">Moses charges Israel to keep</w:t>
            </w:r>
            <w:r>
              <w:t xml:space="preserve"> </w:t>
            </w:r>
            <w:r>
              <w:t xml:space="preserve">“all these statutes and rules”</w:t>
            </w:r>
            <w:r>
              <w:t xml:space="preserve"> </w:t>
            </w:r>
            <w:r>
              <w:t xml:space="preserve">— summary exhortation marking the close of the legal corpus</w:t>
            </w:r>
          </w:p>
        </w:tc>
        <w:tc>
          <w:tcPr/>
          <w:p>
            <w:pPr>
              <w:pStyle w:val="Compact"/>
            </w:pPr>
            <w:r>
              <w:t xml:space="preserve">Structural hinge — this verse looks backward over chapters 12–26</w:t>
            </w:r>
          </w:p>
        </w:tc>
      </w:tr>
      <w:tr>
        <w:tc>
          <w:tcPr/>
          <w:p>
            <w:pPr>
              <w:pStyle w:val="Compact"/>
            </w:pPr>
            <w:r>
              <w:t xml:space="preserve">17</w:t>
            </w:r>
          </w:p>
        </w:tc>
        <w:tc>
          <w:tcPr/>
          <w:p>
            <w:pPr>
              <w:pStyle w:val="Compact"/>
            </w:pPr>
            <w:r>
              <w:t xml:space="preserve">Israel has declared (</w:t>
            </w:r>
            <w:r>
              <w:rPr>
                <w:i/>
                <w:iCs/>
              </w:rPr>
              <w:t xml:space="preserve">he’emir</w:t>
            </w:r>
            <w:r>
              <w:t xml:space="preserve">) the LORD to be their God, to walk in His ways, keep His statutes, and obey His voice</w:t>
            </w:r>
          </w:p>
        </w:tc>
        <w:tc>
          <w:tcPr/>
          <w:p>
            <w:pPr>
              <w:pStyle w:val="Compact"/>
            </w:pPr>
            <w:r>
              <w:t xml:space="preserve">Israel’s formal declaration — covenantal pledge</w:t>
            </w:r>
          </w:p>
        </w:tc>
      </w:tr>
      <w:tr>
        <w:tc>
          <w:tcPr/>
          <w:p>
            <w:pPr>
              <w:pStyle w:val="Compact"/>
            </w:pPr>
            <w:r>
              <w:t xml:space="preserve">18</w:t>
            </w:r>
          </w:p>
        </w:tc>
        <w:tc>
          <w:tcPr/>
          <w:p>
            <w:pPr>
              <w:pStyle w:val="Compact"/>
            </w:pPr>
            <w:r>
              <w:t xml:space="preserve">The LORD has declared (</w:t>
            </w:r>
            <w:r>
              <w:rPr>
                <w:i/>
                <w:iCs/>
              </w:rPr>
              <w:t xml:space="preserve">he’emir</w:t>
            </w:r>
            <w:r>
              <w:t xml:space="preserve">) Israel to be His treasured people (</w:t>
            </w:r>
            <w:r>
              <w:rPr>
                <w:i/>
                <w:iCs/>
              </w:rPr>
              <w:t xml:space="preserve">segullah</w:t>
            </w:r>
            <w:r>
              <w:t xml:space="preserve">) as He promised</w:t>
            </w:r>
          </w:p>
        </w:tc>
        <w:tc>
          <w:tcPr/>
          <w:p>
            <w:pPr>
              <w:pStyle w:val="Compact"/>
            </w:pPr>
            <w:r>
              <w:t xml:space="preserve">The LORD’s prior and parallel declaration — note the divine declaration is primary</w:t>
            </w:r>
          </w:p>
        </w:tc>
      </w:tr>
      <w:tr>
        <w:tc>
          <w:tcPr/>
          <w:p>
            <w:pPr>
              <w:pStyle w:val="Compact"/>
            </w:pPr>
            <w:r>
              <w:t xml:space="preserve">19</w:t>
            </w:r>
          </w:p>
        </w:tc>
        <w:tc>
          <w:tcPr/>
          <w:p>
            <w:pPr>
              <w:pStyle w:val="Compact"/>
            </w:pPr>
            <w:r>
              <w:t xml:space="preserve">The LORD will set Israel high above all nations — in praise, fame, and honor — that Israel shall be a people holy to the LORD</w:t>
            </w:r>
          </w:p>
        </w:tc>
        <w:tc>
          <w:tcPr/>
          <w:p>
            <w:pPr>
              <w:pStyle w:val="Compact"/>
            </w:pPr>
            <w:r>
              <w:t xml:space="preserve">Eschatological horizon — Israel’s exaltation serves God’s global purposes; holiness is the goal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Firstfruits Ceremony: Memory as the Ground of Offering</w:t>
            </w:r>
          </w:p>
        </w:tc>
      </w:tr>
      <w:tr>
        <w:tc>
          <w:tcPr/>
          <w:p>
            <w:pPr>
              <w:pStyle w:val="Compact"/>
            </w:pPr>
            <w:r>
              <w:t xml:space="preserve">2</w:t>
            </w:r>
          </w:p>
        </w:tc>
        <w:tc>
          <w:tcPr/>
          <w:p>
            <w:pPr>
              <w:pStyle w:val="Compact"/>
            </w:pPr>
            <w:r>
              <w:t xml:space="preserve">12–15</w:t>
            </w:r>
          </w:p>
        </w:tc>
        <w:tc>
          <w:tcPr/>
          <w:p>
            <w:pPr>
              <w:pStyle w:val="Compact"/>
            </w:pPr>
            <w:r>
              <w:t xml:space="preserve">The Tithe Declaration: Integrity Before God and Neighbor</w:t>
            </w:r>
          </w:p>
        </w:tc>
      </w:tr>
      <w:tr>
        <w:tc>
          <w:tcPr/>
          <w:p>
            <w:pPr>
              <w:pStyle w:val="Compact"/>
            </w:pPr>
            <w:r>
              <w:t xml:space="preserve">3</w:t>
            </w:r>
          </w:p>
        </w:tc>
        <w:tc>
          <w:tcPr/>
          <w:p>
            <w:pPr>
              <w:pStyle w:val="Compact"/>
            </w:pPr>
            <w:r>
              <w:t xml:space="preserve">16–19</w:t>
            </w:r>
          </w:p>
        </w:tc>
        <w:tc>
          <w:tcPr/>
          <w:p>
            <w:pPr>
              <w:pStyle w:val="Compact"/>
            </w:pPr>
            <w:r>
              <w:t xml:space="preserve">The Covenant Exchange: Mutual Declaration of Identity and Loyalty</w:t>
            </w:r>
          </w:p>
        </w:tc>
      </w:tr>
    </w:tbl>
    <w:p>
      <w:r>
        <w:pict>
          <v:rect style="width:0;height:1.5pt" o:hralign="center" o:hrstd="t" o:hr="t"/>
        </w:pict>
      </w:r>
    </w:p>
    <w:p>
      <w:pPr>
        <w:pStyle w:val="FirstParagraph"/>
      </w:pPr>
      <w:r>
        <w:rPr>
          <w:b/>
          <w:bCs/>
        </w:rPr>
        <w:t xml:space="preserve">Subject Sentence:</w:t>
      </w:r>
      <w:r>
        <w:t xml:space="preserve"> </w:t>
      </w:r>
      <w:r>
        <w:t xml:space="preserve">Covenant worship in the land roots obedience in remembered redemption and declared identity.</w:t>
      </w:r>
    </w:p>
    <w:p>
      <w:pPr>
        <w:pStyle w:val="BodyText"/>
      </w:pPr>
      <w:r>
        <w:rPr>
          <w:b/>
          <w:bCs/>
        </w:rPr>
        <w:t xml:space="preserve">Primary Claim:</w:t>
      </w:r>
      <w:r>
        <w:t xml:space="preserve"> </w:t>
      </w:r>
      <w:r>
        <w:t xml:space="preserve">God is calling His people to a worship that begins with remembering who they were before He acted — so that every act of giving becomes a confession of grace rather than an achievement of merit, and every declaration of loyalty is grounded in His prior claim on them.</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Receive your prosperity as a confession, not an achievement.</w:t>
      </w:r>
      <w:r>
        <w:t xml:space="preserve"> </w:t>
      </w:r>
      <w:r>
        <w:rPr>
          <w:i/>
          <w:iCs/>
        </w:rPr>
        <w:t xml:space="preserve">(Mind/Belief)</w:t>
      </w:r>
      <w:r>
        <w:t xml:space="preserve"> </w:t>
      </w:r>
      <w:r>
        <w:t xml:space="preserve">The firstfruits worshiper begins with</w:t>
      </w:r>
      <w:r>
        <w:t xml:space="preserve"> </w:t>
      </w:r>
      <w:r>
        <w:t xml:space="preserve">“my father was a wandering Aramean”</w:t>
      </w:r>
      <w:r>
        <w:t xml:space="preserve"> </w:t>
      </w:r>
      <w:r>
        <w:t xml:space="preserve">— a deliberate act of self-diminishment before God. He has land, harvest, and abundance; but the ceremony is designed to prevent him from reading those things as evidence of his own competence or virtue. Every believer who has received the new birth, the Word, the church, and the hope of glory received them as a pauper received bread — not as an investor received dividends. The discipline of regular, explicit remembrance —</w:t>
      </w:r>
      <w:r>
        <w:t xml:space="preserve"> </w:t>
      </w:r>
      <w:r>
        <w:t xml:space="preserve">“I was spiritually bankrupt; God intervened; I am here by grace”</w:t>
      </w:r>
      <w:r>
        <w:t xml:space="preserve"> </w:t>
      </w:r>
      <w:r>
        <w:t xml:space="preserve">— is not optional devotional flavor. It is the cognitive foundation of non-idolatrous living. Without it, every blessing becomes evidence of your own worth rather than evidence of God’s faithfulness.</w:t>
      </w:r>
    </w:p>
    <w:p>
      <w:pPr>
        <w:pStyle w:val="BodyText"/>
      </w:pPr>
      <w:r>
        <w:rPr>
          <w:b/>
          <w:bCs/>
        </w:rPr>
        <w:t xml:space="preserve">2. Let the recitation of redemption shape your giving before the calculation of cost does.</w:t>
      </w:r>
      <w:r>
        <w:t xml:space="preserve"> </w:t>
      </w:r>
      <w:r>
        <w:rPr>
          <w:i/>
          <w:iCs/>
        </w:rPr>
        <w:t xml:space="preserve">(Affections/Worship)</w:t>
      </w:r>
      <w:r>
        <w:t xml:space="preserve"> </w:t>
      </w:r>
      <w:r>
        <w:t xml:space="preserve">The Deuteronomy 26 worshiper recites the story before he sets down the basket. The sequence is not incidental. If the giving precedes the recitation, the logic is transactional — I give, therefore I receive blessing. But when the recitation precedes the giving, the logic is eucharistic — I have already received; therefore I give from a full hand, not to fill my account. Christian generosity that is calculated primarily by what can be afforded, what will be missed, or what can be deducted is giving that has forgotten the recitation. The affections must be engaged by the story of what Christ has done before the will is engaged in the act of giving. Let the Gospels, not the budget spreadsheet, govern your first posture toward generosity.</w:t>
      </w:r>
    </w:p>
    <w:p>
      <w:pPr>
        <w:pStyle w:val="BodyText"/>
      </w:pPr>
      <w:r>
        <w:rPr>
          <w:b/>
          <w:bCs/>
        </w:rPr>
        <w:t xml:space="preserve">3. Practice transparent covenant accountability before God regarding your obligations to the vulnerable.</w:t>
      </w:r>
      <w:r>
        <w:t xml:space="preserve"> </w:t>
      </w:r>
      <w:r>
        <w:rPr>
          <w:i/>
          <w:iCs/>
        </w:rPr>
        <w:t xml:space="preserve">(Will/Behavior)</w:t>
      </w:r>
      <w:r>
        <w:t xml:space="preserve"> </w:t>
      </w:r>
      <w:r>
        <w:t xml:space="preserve">The tithe declaration is an act of honest self-examination: Have I given what belongs to the Levite, the sojourner, the fatherless, the widow? It is not rhetorical — it is a specific inventory of whether those God has named as the recipients of covenant generosity have actually received what is theirs. The New Testament church has its own analogous obligations — to the gospel worker (1 Tim. 5:17–18), to the poor in the congregation (James 2:14–17), to the stranger (Heb. 13:2), to the orphan and widow (James 1:27). A faithful practice involves not merely assuming general benevolence but asking specifically: Have these people received what belongs to them from me? The declaration forces concreteness that a vague intention to</w:t>
      </w:r>
      <w:r>
        <w:t xml:space="preserve"> </w:t>
      </w:r>
      <w:r>
        <w:t xml:space="preserve">“be generous”</w:t>
      </w:r>
      <w:r>
        <w:t xml:space="preserve"> </w:t>
      </w:r>
      <w:r>
        <w:t xml:space="preserve">never produces.</w:t>
      </w:r>
    </w:p>
    <w:p>
      <w:pPr>
        <w:pStyle w:val="BodyText"/>
      </w:pPr>
      <w:r>
        <w:rPr>
          <w:b/>
          <w:bCs/>
        </w:rPr>
        <w:t xml:space="preserve">4. Ground your identity in what God has declared about you, not in what you have achieved for Him.</w:t>
      </w:r>
      <w:r>
        <w:t xml:space="preserve"> </w:t>
      </w:r>
      <w:r>
        <w:rPr>
          <w:i/>
          <w:iCs/>
        </w:rPr>
        <w:t xml:space="preserve">(Mind/Belief)</w:t>
      </w:r>
      <w:r>
        <w:t xml:space="preserve"> </w:t>
      </w:r>
      <w:r>
        <w:t xml:space="preserve">The covenant exchange of vv. 16–19 establishes the sequence: God has declared Israel to be His treasured possession; Israel declares God to be their LORD. The identity comes first — from God’s mouth, not from Israel’s performance. The believer’s identity as adopted child, justified sinner, and treasured possession (1 Peter 2:9–10 uses</w:t>
      </w:r>
      <w:r>
        <w:t xml:space="preserve"> </w:t>
      </w:r>
      <w:r>
        <w:rPr>
          <w:i/>
          <w:iCs/>
        </w:rPr>
        <w:t xml:space="preserve">segullah</w:t>
      </w:r>
      <w:r>
        <w:t xml:space="preserve"> </w:t>
      </w:r>
      <w:r>
        <w:t xml:space="preserve">language directly) is declared before it is lived. Many believers spend their lives trying to achieve an identity they already possess — performing in order to become what God has already named them. The corrective is not to lower the standard but to reverse the order: receive the declaration, then walk in it. Obedience is the appropriate response of someone who has been named, not the mechanism by which naming is earned.</w:t>
      </w:r>
    </w:p>
    <w:p>
      <w:pPr>
        <w:pStyle w:val="BodyText"/>
      </w:pPr>
      <w:r>
        <w:rPr>
          <w:b/>
          <w:bCs/>
        </w:rPr>
        <w:t xml:space="preserve">5. Rejoice with those outside your household in the goodness God has given.</w:t>
      </w:r>
      <w:r>
        <w:t xml:space="preserve"> </w:t>
      </w:r>
      <w:r>
        <w:rPr>
          <w:i/>
          <w:iCs/>
        </w:rPr>
        <w:t xml:space="preserve">(Affections/Worship)</w:t>
      </w:r>
      <w:r>
        <w:t xml:space="preserve"> </w:t>
      </w:r>
      <w:r>
        <w:t xml:space="preserve">Verse 11 commands that the worshiper rejoice not only with his household but</w:t>
      </w:r>
      <w:r>
        <w:t xml:space="preserve"> </w:t>
      </w:r>
      <w:r>
        <w:t xml:space="preserve">“with the Levite and the sojourner who is among you.”</w:t>
      </w:r>
      <w:r>
        <w:t xml:space="preserve"> </w:t>
      </w:r>
      <w:r>
        <w:t xml:space="preserve">Covenant joy is inherently expansive — it does not terminate on the self or even on the family unit. The person who has remembered that he was once an alien (v. 5:</w:t>
      </w:r>
      <w:r>
        <w:t xml:space="preserve"> </w:t>
      </w:r>
      <w:r>
        <w:t xml:space="preserve">“a wandering Aramean”</w:t>
      </w:r>
      <w:r>
        <w:t xml:space="preserve">), that he was once in bondage, and that God brought him out, is the person who can genuinely rejoice when the sojourner at his table shares in the blessing. Begrudging or privatized generosity reveals that the recitation has not truly landed. Let the memory of your own alien status before God produce a warmth and expansiveness toward the stranger and the marginalized that calculation never could.</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26 teaches that worship is not primarily an act of devotion performed before God but an act of self-location in the story of what God has done. The firstfruits ceremony reveals that God desires worshipers who know who they are in light of what He has done — creatures who were helpless, whom He rescued, to whom He gave what they could not earn. This understanding of worship guards against two perennial distortions: the reduction of giving to transactional exchange (I give to receive blessing) and the inflation of obedience into meritorious achievement (I obey to earn standing). The chapter also reveals God’s concern for the covenant community’s most vulnerable members — the Levite, the sojourner, the fatherless, and the widow — as built into the structure of Israel’s worship, not added as an afterthought. God’s character as the One who</w:t>
      </w:r>
      <w:r>
        <w:t xml:space="preserve"> </w:t>
      </w:r>
      <w:r>
        <w:t xml:space="preserve">“brought us out from Egypt with a mighty hand”</w:t>
      </w:r>
      <w:r>
        <w:t xml:space="preserve"> </w:t>
      </w:r>
      <w:r>
        <w:t xml:space="preserve">(v. 8) is the theological foundation for His insistence that His people extend what He has extended to them.</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26 is a pre-Pauline exhibition of the priority of grace over law in covenant life. The</w:t>
      </w:r>
      <w:r>
        <w:t xml:space="preserve"> </w:t>
      </w:r>
      <w:r>
        <w:rPr>
          <w:i/>
          <w:iCs/>
        </w:rPr>
        <w:t xml:space="preserve">segullah</w:t>
      </w:r>
      <w:r>
        <w:t xml:space="preserve"> </w:t>
      </w:r>
      <w:r>
        <w:t xml:space="preserve">declaration (v. 18) establishes that Israel’s identity as God’s treasured possession is declared by God before it is enacted by Israel — which is the covenant-of-grace logic that runs from Genesis 15 through Romans 8. The chapter resists moralism at the structural level: the worshiper is commanded to narrate his own prior helplessness before he brings his gift, so that the gift cannot be construed as self-presentation to a God who rewards the industrious. This is the Reformation’s</w:t>
      </w:r>
      <w:r>
        <w:t xml:space="preserve"> </w:t>
      </w:r>
      <w:r>
        <w:rPr>
          <w:i/>
          <w:iCs/>
        </w:rPr>
        <w:t xml:space="preserve">sola gratia</w:t>
      </w:r>
      <w:r>
        <w:t xml:space="preserve"> </w:t>
      </w:r>
      <w:r>
        <w:t xml:space="preserve">in liturgical form — grace remembered, grace confessed, grace expressed in the gift. The mutual covenant exchange (vv. 16–19) also illuminates the Reformed understanding of covenant as a relationship in which God’s prior initiative and declaration constitute the foundation, while human response and obedience are the fitting and required expression of that constituted relationship — not the means by which it is established.</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You are not a self-made person standing before a God who rewards the hardworking. You are a wandering Aramean — helpless, alien, and brought in by grace — standing before the God who intervened before you could ask. Every harvest, every paycheck, every relationship, every spiritual gift belongs in that category. Bring the first and best, recite the story of what He did before you brought anything, and then give with the open hand of someone who knows they were given to first.</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the chapter to a stewardship sermon without engaging the theology of worship.</w:t>
      </w:r>
      <w:r>
        <w:t xml:space="preserve"> </w:t>
      </w:r>
      <w:r>
        <w:t xml:space="preserve">Deuteronomy 26 is far more than a text about tithing. Preaching it primarily as</w:t>
      </w:r>
      <w:r>
        <w:t xml:space="preserve"> </w:t>
      </w:r>
      <w:r>
        <w:t xml:space="preserve">“bring your firstfruits and your tithe”</w:t>
      </w:r>
      <w:r>
        <w:t xml:space="preserve"> </w:t>
      </w:r>
      <w:r>
        <w:t xml:space="preserve">misses that the chapter’s governing concern is the formation of worshipers who know they are recipients before they are givers. A stewardship sermon that uses this chapter for its giving mechanics without preaching the creedal recitation of vv. 5–9 has extracted the application and abandoned the gospel root.</w:t>
      </w:r>
    </w:p>
    <w:p>
      <w:pPr>
        <w:numPr>
          <w:ilvl w:val="0"/>
          <w:numId w:val="1002"/>
        </w:numPr>
      </w:pPr>
      <w:r>
        <w:rPr>
          <w:b/>
          <w:bCs/>
        </w:rPr>
        <w:t xml:space="preserve">Reading the tithe declaration (vv. 12–15) as a model of meritorious self-presentation.</w:t>
      </w:r>
      <w:r>
        <w:t xml:space="preserve"> </w:t>
      </w:r>
      <w:r>
        <w:t xml:space="preserve">The self-attestation of v. 13 —</w:t>
      </w:r>
      <w:r>
        <w:t xml:space="preserve"> </w:t>
      </w:r>
      <w:r>
        <w:t xml:space="preserve">“I have not transgressed any of Your commandments”</w:t>
      </w:r>
      <w:r>
        <w:t xml:space="preserve"> </w:t>
      </w:r>
      <w:r>
        <w:t xml:space="preserve">— can easily be preached as a call to moral achievement (</w:t>
      </w:r>
      <w:r>
        <w:t xml:space="preserve">“this is the standard; can you say this?”</w:t>
      </w:r>
      <w:r>
        <w:t xml:space="preserve">) rather than as a model of covenantal integrity within a grace relationship. The declaration is an act of transparent accountability, not an attempt to build a righteousness claim. Mishandling this produces a congregation that hears</w:t>
      </w:r>
      <w:r>
        <w:t xml:space="preserve"> </w:t>
      </w:r>
      <w:r>
        <w:t xml:space="preserve">“be righteous enough to deserve God’s blessing”</w:t>
      </w:r>
      <w:r>
        <w:t xml:space="preserve"> </w:t>
      </w:r>
      <w:r>
        <w:t xml:space="preserve">rather than</w:t>
      </w:r>
      <w:r>
        <w:t xml:space="preserve"> </w:t>
      </w:r>
      <w:r>
        <w:t xml:space="preserve">“be honestly accountable within the covenant relationship God has already established.”</w:t>
      </w:r>
    </w:p>
    <w:p>
      <w:pPr>
        <w:numPr>
          <w:ilvl w:val="0"/>
          <w:numId w:val="1002"/>
        </w:numPr>
      </w:pPr>
      <w:r>
        <w:rPr>
          <w:b/>
          <w:bCs/>
        </w:rPr>
        <w:t xml:space="preserve">Treating the wandering Aramean recitation as ancient history with no present-tense force.</w:t>
      </w:r>
      <w:r>
        <w:t xml:space="preserve"> </w:t>
      </w:r>
      <w:r>
        <w:t xml:space="preserve">The</w:t>
      </w:r>
      <w:r>
        <w:t xml:space="preserve"> </w:t>
      </w:r>
      <w:r>
        <w:t xml:space="preserve">“small historical credo”</w:t>
      </w:r>
      <w:r>
        <w:t xml:space="preserve"> </w:t>
      </w:r>
      <w:r>
        <w:t xml:space="preserve">reading (influenced by critical scholarship) can slip into preaching that treats vv. 5–9 as a recitation of Israel’s past that the modern hearer merely observes. The text insists on personal identification — the worshiper places himself within the story. Christian preaching must make the same move: the hearer is not observing someone else’s exodus but locating himself as the recipient of the greater exodus accomplished in Christ (cf. Luke 9:31, where the transfiguration discourse uses the exodus/departure language for the cross).</w:t>
      </w:r>
    </w:p>
    <w:p>
      <w:pPr>
        <w:numPr>
          <w:ilvl w:val="0"/>
          <w:numId w:val="1002"/>
        </w:numPr>
      </w:pPr>
      <w:r>
        <w:rPr>
          <w:b/>
          <w:bCs/>
        </w:rPr>
        <w:t xml:space="preserve">Preaching the covenant exchange (vv. 16–19) as a conditional transaction rather than a mutual declaration within a grace relationship.</w:t>
      </w:r>
      <w:r>
        <w:t xml:space="preserve"> </w:t>
      </w:r>
      <w:r>
        <w:t xml:space="preserve">The danger is framing vv. 17–18 as</w:t>
      </w:r>
      <w:r>
        <w:t xml:space="preserve"> </w:t>
      </w:r>
      <w:r>
        <w:t xml:space="preserve">“if Israel obeys, then God will treasure them”</w:t>
      </w:r>
      <w:r>
        <w:t xml:space="preserve"> </w:t>
      </w:r>
      <w:r>
        <w:t xml:space="preserve">— which reverses the sequence the text establishes. God’s declaration of Israel as His</w:t>
      </w:r>
      <w:r>
        <w:t xml:space="preserve"> </w:t>
      </w:r>
      <w:r>
        <w:rPr>
          <w:i/>
          <w:iCs/>
        </w:rPr>
        <w:t xml:space="preserve">segullah</w:t>
      </w:r>
      <w:r>
        <w:t xml:space="preserve"> </w:t>
      </w:r>
      <w:r>
        <w:t xml:space="preserve">is prior. The Reformed preacher must be explicit that the exhortation to covenant faithfulness flows from and responds to divine election, not the other way around. Otherwise the passage produces either anxiety (have I obeyed enough to secure my status?) or presumption (my status is secure regardless of how I live).</w:t>
      </w:r>
    </w:p>
    <w:p>
      <w:pPr>
        <w:numPr>
          <w:ilvl w:val="0"/>
          <w:numId w:val="1002"/>
        </w:numPr>
      </w:pPr>
      <w:r>
        <w:rPr>
          <w:b/>
          <w:bCs/>
        </w:rPr>
        <w:t xml:space="preserve">Neglecting the corporate and communal dimensions of the worship commanded.</w:t>
      </w:r>
      <w:r>
        <w:t xml:space="preserve"> </w:t>
      </w:r>
      <w:r>
        <w:t xml:space="preserve">The commands to rejoice</w:t>
      </w:r>
      <w:r>
        <w:t xml:space="preserve"> </w:t>
      </w:r>
      <w:r>
        <w:rPr>
          <w:i/>
          <w:iCs/>
        </w:rPr>
        <w:t xml:space="preserve">with</w:t>
      </w:r>
      <w:r>
        <w:t xml:space="preserve"> </w:t>
      </w:r>
      <w:r>
        <w:t xml:space="preserve">the Levite and sojourner (v. 11) and to distribute the tithe to the Levite, sojourner, fatherless, and widow (vv. 12–13) are not optional extensions of private piety — they are built into the structure of the ceremony itself. Preaching that focuses on the worshiper’s personal act of giving without pressing the community’s accountability to its vulnerable members has preached only half the text. The covenant community’s generosity is inherently directed toward specific categories of people God has named.</w:t>
      </w:r>
    </w:p>
    <w:p>
      <w:pPr>
        <w:numPr>
          <w:ilvl w:val="0"/>
          <w:numId w:val="1002"/>
        </w:numPr>
      </w:pPr>
      <w:r>
        <w:rPr>
          <w:b/>
          <w:bCs/>
        </w:rPr>
        <w:t xml:space="preserve">Missing the Christological and New Testament fulfillment without allegorizing.</w:t>
      </w:r>
      <w:r>
        <w:t xml:space="preserve"> </w:t>
      </w:r>
      <w:r>
        <w:t xml:space="preserve">The chapter does not require forced allegorization to connect to Christ. The logic of the firstfruits itself (the first portion consecrating the whole; the gift that acknowledges everything as God’s) is taken up in the New Testament (Rom. 11:16; 1 Cor. 15:20–23). The</w:t>
      </w:r>
      <w:r>
        <w:t xml:space="preserve"> </w:t>
      </w:r>
      <w:r>
        <w:t xml:space="preserve">“wandering Aramean”</w:t>
      </w:r>
      <w:r>
        <w:t xml:space="preserve"> </w:t>
      </w:r>
      <w:r>
        <w:t xml:space="preserve">pattern — alien status, bondage, divine rescue, gift of inheritance — is the template for the gospel (Eph. 2:1–10, 19). The preacher who ignores this trajectory leaves the congregation with a law they cannot keep rather than a grace they can receive and extend.</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2026-07-14T21:02:09Z</dcterms:created>
  <dcterms:modified xsi:type="dcterms:W3CDTF">2026-07-14T21:02:09Z</dcterms:modified>
</cp:coreProperties>
</file>

<file path=docProps/custom.xml><?xml version="1.0" encoding="utf-8"?>
<Properties xmlns="http://schemas.openxmlformats.org/officeDocument/2006/custom-properties" xmlns:vt="http://schemas.openxmlformats.org/officeDocument/2006/docPropsVTypes"/>
</file>